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2E840" w14:textId="77777777" w:rsidR="002F74BF" w:rsidRDefault="002F74BF">
      <w:pPr>
        <w:pStyle w:val="Standard"/>
        <w:spacing w:after="120" w:line="271" w:lineRule="auto"/>
        <w:jc w:val="both"/>
        <w:rPr>
          <w:sz w:val="28"/>
          <w:szCs w:val="28"/>
        </w:rPr>
      </w:pPr>
    </w:p>
    <w:p w14:paraId="2EA5A583" w14:textId="19AE6D46" w:rsidR="00E621A2" w:rsidRDefault="00000000">
      <w:pPr>
        <w:pStyle w:val="Standard"/>
        <w:spacing w:after="120" w:line="271" w:lineRule="auto"/>
        <w:jc w:val="both"/>
      </w:pPr>
      <w:r>
        <w:rPr>
          <w:sz w:val="28"/>
          <w:szCs w:val="28"/>
        </w:rPr>
        <w:t>Supplier name:</w:t>
      </w:r>
      <w:r>
        <w:t xml:space="preserve"> </w:t>
      </w:r>
      <w:r w:rsidR="00AE15A5">
        <w:t>Advantage Track Services LTD</w:t>
      </w:r>
    </w:p>
    <w:p w14:paraId="23CB5EF2" w14:textId="4EC91DB5" w:rsidR="00E621A2" w:rsidRDefault="00000000">
      <w:pPr>
        <w:pStyle w:val="Standard"/>
        <w:spacing w:after="120" w:line="271" w:lineRule="auto"/>
        <w:jc w:val="both"/>
      </w:pPr>
      <w:r>
        <w:rPr>
          <w:sz w:val="28"/>
          <w:szCs w:val="28"/>
        </w:rPr>
        <w:t>Publication date:</w:t>
      </w:r>
      <w:r>
        <w:t xml:space="preserve"> </w:t>
      </w:r>
      <w:r w:rsidR="00AE15A5">
        <w:t>19</w:t>
      </w:r>
      <w:r w:rsidR="00AE15A5" w:rsidRPr="00AE15A5">
        <w:rPr>
          <w:vertAlign w:val="superscript"/>
        </w:rPr>
        <w:t>th</w:t>
      </w:r>
      <w:r w:rsidR="00AE15A5">
        <w:t xml:space="preserve"> August 2024</w:t>
      </w:r>
    </w:p>
    <w:p w14:paraId="6E80785A" w14:textId="77777777" w:rsidR="00AE15A5" w:rsidRDefault="00000000" w:rsidP="00AE15A5">
      <w:pPr>
        <w:pStyle w:val="Heading1"/>
        <w:spacing w:before="360" w:line="271" w:lineRule="auto"/>
        <w:jc w:val="both"/>
      </w:pPr>
      <w:bookmarkStart w:id="0" w:name="_heading=h.30j0zll"/>
      <w:bookmarkEnd w:id="0"/>
      <w:r>
        <w:rPr>
          <w:b/>
          <w:sz w:val="28"/>
          <w:szCs w:val="28"/>
        </w:rPr>
        <w:t>Commitment to achieving Net Zero</w:t>
      </w:r>
      <w:bookmarkStart w:id="1" w:name="_heading=h.1fob9te"/>
      <w:bookmarkEnd w:id="1"/>
    </w:p>
    <w:p w14:paraId="222970EC" w14:textId="33100D47" w:rsidR="00E621A2" w:rsidRDefault="00AE15A5" w:rsidP="00AE15A5">
      <w:pPr>
        <w:pStyle w:val="Heading1"/>
        <w:spacing w:before="360" w:line="271" w:lineRule="auto"/>
        <w:jc w:val="both"/>
      </w:pPr>
      <w:r>
        <w:rPr>
          <w:sz w:val="22"/>
          <w:szCs w:val="22"/>
        </w:rPr>
        <w:t>ATS is</w:t>
      </w:r>
      <w:r w:rsidR="00000000">
        <w:rPr>
          <w:sz w:val="22"/>
          <w:szCs w:val="22"/>
        </w:rPr>
        <w:t xml:space="preserve"> committed to achieving Net Zero emissions by 2</w:t>
      </w:r>
      <w:r>
        <w:rPr>
          <w:sz w:val="22"/>
          <w:szCs w:val="22"/>
        </w:rPr>
        <w:t>050</w:t>
      </w:r>
      <w:r w:rsidR="00000000">
        <w:rPr>
          <w:sz w:val="22"/>
          <w:szCs w:val="22"/>
        </w:rPr>
        <w:t>.</w:t>
      </w:r>
    </w:p>
    <w:p w14:paraId="2ADDE541" w14:textId="77777777" w:rsidR="00E621A2" w:rsidRDefault="00000000">
      <w:pPr>
        <w:pStyle w:val="Heading1"/>
        <w:spacing w:before="360" w:line="271" w:lineRule="auto"/>
        <w:jc w:val="both"/>
      </w:pPr>
      <w:bookmarkStart w:id="2" w:name="_heading=h.3znysh7"/>
      <w:bookmarkEnd w:id="2"/>
      <w:r>
        <w:rPr>
          <w:b/>
          <w:sz w:val="28"/>
          <w:szCs w:val="28"/>
        </w:rPr>
        <w:t>Baseline Emissions Footprint</w:t>
      </w:r>
    </w:p>
    <w:p w14:paraId="1DB0A816" w14:textId="77777777" w:rsidR="00E621A2" w:rsidRDefault="00000000">
      <w:pPr>
        <w:pStyle w:val="Standard"/>
      </w:pPr>
      <w:r>
        <w:t xml:space="preserve">Baseline emissions are a record of the greenhouse gases that have </w:t>
      </w:r>
      <w:proofErr w:type="gramStart"/>
      <w:r>
        <w:t>been produced</w:t>
      </w:r>
      <w:proofErr w:type="gramEnd"/>
      <w:r>
        <w:t xml:space="preserve"> in the past and were produced prior to the introduction of any strategies to reduce emissions. Baseline emissions are the reference point against which emissions reduction can </w:t>
      </w:r>
      <w:proofErr w:type="gramStart"/>
      <w:r>
        <w:t>be measured</w:t>
      </w:r>
      <w:proofErr w:type="gramEnd"/>
      <w:r>
        <w:t>.</w:t>
      </w:r>
    </w:p>
    <w:p w14:paraId="6558E32F" w14:textId="148592B5" w:rsidR="00E621A2" w:rsidRDefault="00000000">
      <w:pPr>
        <w:pStyle w:val="Standard"/>
      </w:pPr>
      <w:r>
        <w:t xml:space="preserve"> </w:t>
      </w:r>
    </w:p>
    <w:tbl>
      <w:tblPr>
        <w:tblW w:w="94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7320"/>
      </w:tblGrid>
      <w:tr w:rsidR="00E621A2" w14:paraId="776331FE" w14:textId="77777777" w:rsidTr="009125D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6E46" w14:textId="2A73E711" w:rsidR="00E621A2" w:rsidRDefault="00000000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Baseline Yea</w:t>
            </w:r>
            <w:r w:rsidR="00AE15A5">
              <w:rPr>
                <w:b/>
              </w:rPr>
              <w:t xml:space="preserve">r – </w:t>
            </w:r>
            <w:r w:rsidR="009125D5">
              <w:rPr>
                <w:b/>
              </w:rPr>
              <w:t>2023</w:t>
            </w:r>
          </w:p>
        </w:tc>
      </w:tr>
      <w:tr w:rsidR="00E621A2" w14:paraId="16349900" w14:textId="77777777" w:rsidTr="009125D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4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D0D0" w14:textId="77777777" w:rsidR="00E621A2" w:rsidRDefault="00000000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Additional Details relating to the Baseline Emissions calculations.</w:t>
            </w:r>
          </w:p>
        </w:tc>
      </w:tr>
      <w:tr w:rsidR="00E621A2" w14:paraId="7020A86B" w14:textId="77777777" w:rsidTr="009125D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4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C07F" w14:textId="2C6F0313" w:rsidR="00E621A2" w:rsidRPr="00AE15A5" w:rsidRDefault="002F74BF">
            <w:pPr>
              <w:pStyle w:val="Standard"/>
              <w:spacing w:after="120" w:line="271" w:lineRule="auto"/>
              <w:jc w:val="both"/>
              <w:rPr>
                <w:iCs/>
              </w:rPr>
            </w:pPr>
            <w:r>
              <w:rPr>
                <w:iCs/>
                <w:shd w:val="clear" w:color="auto" w:fill="FFFF00"/>
              </w:rPr>
              <w:t>T</w:t>
            </w:r>
            <w:r w:rsidR="009125D5" w:rsidRPr="009125D5">
              <w:rPr>
                <w:iCs/>
                <w:shd w:val="clear" w:color="auto" w:fill="FFFF00"/>
              </w:rPr>
              <w:t xml:space="preserve">here is no previous reporting and the creation of a new baseline </w:t>
            </w:r>
            <w:r>
              <w:rPr>
                <w:iCs/>
                <w:shd w:val="clear" w:color="auto" w:fill="FFFF00"/>
              </w:rPr>
              <w:t>as this is the first report.</w:t>
            </w:r>
          </w:p>
        </w:tc>
      </w:tr>
      <w:tr w:rsidR="00E621A2" w14:paraId="3E36DEC3" w14:textId="77777777" w:rsidTr="009125D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4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FA5F" w14:textId="77777777" w:rsidR="00E621A2" w:rsidRDefault="00000000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Baseline year emissions:</w:t>
            </w:r>
          </w:p>
        </w:tc>
      </w:tr>
      <w:tr w:rsidR="00E621A2" w14:paraId="06CBFB68" w14:textId="77777777" w:rsidTr="009125D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A6EB" w14:textId="77777777" w:rsidR="00E621A2" w:rsidRDefault="00000000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EMISSIONS</w:t>
            </w:r>
          </w:p>
        </w:tc>
        <w:tc>
          <w:tcPr>
            <w:tcW w:w="7320" w:type="dxa"/>
            <w:tcBorders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B89" w14:textId="77777777" w:rsidR="00E621A2" w:rsidRDefault="00000000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TOTAL (tCO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e)</w:t>
            </w:r>
          </w:p>
        </w:tc>
      </w:tr>
      <w:tr w:rsidR="009125D5" w14:paraId="405AC544" w14:textId="77777777" w:rsidTr="009125D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86F1" w14:textId="77777777" w:rsidR="009125D5" w:rsidRDefault="009125D5" w:rsidP="009125D5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Scope 1</w:t>
            </w:r>
          </w:p>
        </w:tc>
        <w:tc>
          <w:tcPr>
            <w:tcW w:w="7320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B44D" w14:textId="753E8BC2" w:rsidR="009125D5" w:rsidRDefault="009125D5" w:rsidP="009125D5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0</w:t>
            </w:r>
          </w:p>
        </w:tc>
      </w:tr>
      <w:tr w:rsidR="009125D5" w14:paraId="045AFBD9" w14:textId="77777777" w:rsidTr="009125D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8CA1" w14:textId="77777777" w:rsidR="009125D5" w:rsidRDefault="009125D5" w:rsidP="009125D5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Scope 2</w:t>
            </w:r>
          </w:p>
        </w:tc>
        <w:tc>
          <w:tcPr>
            <w:tcW w:w="7320" w:type="dxa"/>
            <w:tcBorders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EEE7" w14:textId="26DB195D" w:rsidR="009125D5" w:rsidRDefault="009125D5" w:rsidP="009125D5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2.2</w:t>
            </w:r>
          </w:p>
        </w:tc>
      </w:tr>
      <w:tr w:rsidR="009125D5" w14:paraId="6B97A173" w14:textId="77777777" w:rsidTr="009125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3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64D6" w14:textId="77777777" w:rsidR="009125D5" w:rsidRDefault="009125D5" w:rsidP="009125D5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Scope 3</w:t>
            </w:r>
          </w:p>
          <w:p w14:paraId="0C3537A4" w14:textId="77777777" w:rsidR="009125D5" w:rsidRDefault="009125D5" w:rsidP="009125D5">
            <w:pPr>
              <w:pStyle w:val="Standard"/>
              <w:spacing w:after="120" w:line="271" w:lineRule="auto"/>
              <w:jc w:val="both"/>
            </w:pPr>
            <w:r>
              <w:rPr>
                <w:b/>
                <w:sz w:val="18"/>
                <w:szCs w:val="18"/>
              </w:rPr>
              <w:t>(Included Sources)</w:t>
            </w:r>
          </w:p>
        </w:tc>
        <w:tc>
          <w:tcPr>
            <w:tcW w:w="7320" w:type="dxa"/>
            <w:tcBorders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5682" w14:textId="4F0111D9" w:rsidR="009125D5" w:rsidRDefault="009125D5" w:rsidP="009125D5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26.1</w:t>
            </w:r>
          </w:p>
        </w:tc>
      </w:tr>
      <w:tr w:rsidR="009125D5" w14:paraId="4590D3A0" w14:textId="77777777" w:rsidTr="009125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AC18" w14:textId="77777777" w:rsidR="009125D5" w:rsidRDefault="009125D5" w:rsidP="009125D5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Total Emissions</w:t>
            </w:r>
          </w:p>
        </w:tc>
        <w:tc>
          <w:tcPr>
            <w:tcW w:w="7320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DD2C" w14:textId="4229F9C0" w:rsidR="009125D5" w:rsidRDefault="009125D5" w:rsidP="009125D5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28.35</w:t>
            </w:r>
          </w:p>
        </w:tc>
      </w:tr>
    </w:tbl>
    <w:p w14:paraId="601377AA" w14:textId="77777777" w:rsidR="00E621A2" w:rsidRDefault="00E621A2">
      <w:pPr>
        <w:pStyle w:val="Standard"/>
        <w:rPr>
          <w:b/>
          <w:sz w:val="28"/>
          <w:szCs w:val="28"/>
        </w:rPr>
      </w:pPr>
    </w:p>
    <w:p w14:paraId="65E2AD17" w14:textId="77777777" w:rsidR="00E621A2" w:rsidRDefault="00E621A2">
      <w:pPr>
        <w:pStyle w:val="Standard"/>
        <w:rPr>
          <w:b/>
          <w:sz w:val="28"/>
          <w:szCs w:val="28"/>
        </w:rPr>
      </w:pPr>
    </w:p>
    <w:p w14:paraId="417A11DF" w14:textId="77777777" w:rsidR="00F53397" w:rsidRDefault="00F53397">
      <w:pPr>
        <w:pStyle w:val="Standard"/>
        <w:rPr>
          <w:b/>
          <w:sz w:val="28"/>
          <w:szCs w:val="28"/>
        </w:rPr>
      </w:pPr>
    </w:p>
    <w:p w14:paraId="0EDA70FC" w14:textId="77777777" w:rsidR="00F53397" w:rsidRDefault="00F53397">
      <w:pPr>
        <w:pStyle w:val="Standard"/>
        <w:rPr>
          <w:b/>
          <w:sz w:val="28"/>
          <w:szCs w:val="28"/>
        </w:rPr>
      </w:pPr>
    </w:p>
    <w:p w14:paraId="77A6A0B5" w14:textId="77777777" w:rsidR="00F53397" w:rsidRDefault="00F53397">
      <w:pPr>
        <w:pStyle w:val="Standard"/>
        <w:rPr>
          <w:b/>
          <w:sz w:val="28"/>
          <w:szCs w:val="28"/>
        </w:rPr>
      </w:pPr>
    </w:p>
    <w:p w14:paraId="73FB8943" w14:textId="77777777" w:rsidR="002F74BF" w:rsidRDefault="002F74BF">
      <w:pPr>
        <w:pStyle w:val="Standard"/>
        <w:rPr>
          <w:b/>
          <w:sz w:val="28"/>
          <w:szCs w:val="28"/>
        </w:rPr>
      </w:pPr>
    </w:p>
    <w:p w14:paraId="4417409E" w14:textId="60D8B097" w:rsidR="00E621A2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Current Emissions Reporting</w:t>
      </w:r>
    </w:p>
    <w:p w14:paraId="5907802C" w14:textId="77777777" w:rsidR="002F74BF" w:rsidRDefault="002F74BF">
      <w:pPr>
        <w:pStyle w:val="Standard"/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7365"/>
      </w:tblGrid>
      <w:tr w:rsidR="00E621A2" w14:paraId="45700F1D" w14:textId="77777777" w:rsidTr="009125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D181" w14:textId="4F949C99" w:rsidR="00E621A2" w:rsidRDefault="00000000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Reporting Year: 2</w:t>
            </w:r>
            <w:r w:rsidR="009125D5">
              <w:rPr>
                <w:b/>
              </w:rPr>
              <w:t>023</w:t>
            </w:r>
          </w:p>
        </w:tc>
      </w:tr>
      <w:tr w:rsidR="00E621A2" w14:paraId="6249C420" w14:textId="77777777" w:rsidTr="009125D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AFC9" w14:textId="77777777" w:rsidR="00E621A2" w:rsidRDefault="00000000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EMISSIONS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B391" w14:textId="77777777" w:rsidR="00E621A2" w:rsidRDefault="00000000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TOTAL (tCO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e)</w:t>
            </w:r>
          </w:p>
        </w:tc>
      </w:tr>
      <w:tr w:rsidR="00F53397" w14:paraId="0AC09CF9" w14:textId="77777777" w:rsidTr="002F74B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E29B" w14:textId="77777777" w:rsidR="00F53397" w:rsidRDefault="00F53397" w:rsidP="00F53397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Scope 1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2C1F" w14:textId="1E8D40A0" w:rsidR="00F53397" w:rsidRPr="00F53397" w:rsidRDefault="00F53397" w:rsidP="00F53397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0</w:t>
            </w:r>
          </w:p>
        </w:tc>
      </w:tr>
      <w:tr w:rsidR="00F53397" w14:paraId="5B8DF8A6" w14:textId="77777777" w:rsidTr="009125D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2ABBD" w14:textId="77777777" w:rsidR="00F53397" w:rsidRDefault="00F53397" w:rsidP="00F53397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Scope 2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3CBC" w14:textId="2A518ECA" w:rsidR="00F53397" w:rsidRDefault="00F53397" w:rsidP="00F53397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2.2</w:t>
            </w:r>
          </w:p>
        </w:tc>
      </w:tr>
      <w:tr w:rsidR="00F53397" w14:paraId="5EC5AE23" w14:textId="77777777" w:rsidTr="002F74B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D7FC" w14:textId="77777777" w:rsidR="00F53397" w:rsidRDefault="00F53397" w:rsidP="00F53397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Scope 3</w:t>
            </w:r>
          </w:p>
          <w:p w14:paraId="4CD2DD06" w14:textId="77777777" w:rsidR="00F53397" w:rsidRDefault="00F53397" w:rsidP="00F53397">
            <w:pPr>
              <w:pStyle w:val="Standard"/>
              <w:spacing w:after="120" w:line="271" w:lineRule="auto"/>
              <w:jc w:val="both"/>
            </w:pPr>
            <w:r>
              <w:rPr>
                <w:b/>
                <w:sz w:val="18"/>
                <w:szCs w:val="18"/>
              </w:rPr>
              <w:t>(Included Sources)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2065" w14:textId="476B1D7F" w:rsidR="00F53397" w:rsidRDefault="00F53397" w:rsidP="00F53397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2</w:t>
            </w:r>
            <w:r>
              <w:rPr>
                <w:b/>
              </w:rPr>
              <w:t>6.1</w:t>
            </w:r>
          </w:p>
        </w:tc>
      </w:tr>
      <w:tr w:rsidR="00F53397" w14:paraId="7D7929E7" w14:textId="77777777" w:rsidTr="009125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60AF" w14:textId="77777777" w:rsidR="00F53397" w:rsidRDefault="00F53397" w:rsidP="00F53397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Total Emissions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0FF6" w14:textId="4B826294" w:rsidR="00F53397" w:rsidRPr="00F53397" w:rsidRDefault="00F53397" w:rsidP="00F53397">
            <w:pPr>
              <w:pStyle w:val="Standard"/>
              <w:spacing w:after="120" w:line="271" w:lineRule="auto"/>
              <w:jc w:val="both"/>
            </w:pPr>
            <w:r>
              <w:rPr>
                <w:b/>
              </w:rPr>
              <w:t>2</w:t>
            </w:r>
            <w:r>
              <w:rPr>
                <w:b/>
              </w:rPr>
              <w:t>8.35</w:t>
            </w:r>
          </w:p>
        </w:tc>
      </w:tr>
    </w:tbl>
    <w:p w14:paraId="6F62D212" w14:textId="39471468" w:rsidR="00F53397" w:rsidRDefault="00A02C3C">
      <w:pPr>
        <w:pStyle w:val="Standard"/>
        <w:spacing w:line="247" w:lineRule="auto"/>
      </w:pPr>
      <w:bookmarkStart w:id="3" w:name="_heading=h.2et92p0"/>
      <w:bookmarkEnd w:id="3"/>
      <w:r>
        <w:rPr>
          <w:noProof/>
        </w:rPr>
        <w:drawing>
          <wp:inline distT="0" distB="0" distL="0" distR="0" wp14:anchorId="76E6AE86" wp14:editId="76D7F5A6">
            <wp:extent cx="3936711" cy="2496127"/>
            <wp:effectExtent l="0" t="0" r="6985" b="0"/>
            <wp:docPr id="148641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76F37D7-EA9D-114B-9422-301EC5BA10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BF4CF7" w14:textId="2F4EEF32" w:rsidR="00A02C3C" w:rsidRDefault="00A02C3C">
      <w:pPr>
        <w:pStyle w:val="Standard"/>
        <w:spacing w:line="247" w:lineRule="auto"/>
        <w:rPr>
          <w:b/>
          <w:bCs/>
          <w:u w:val="single"/>
        </w:rPr>
      </w:pPr>
    </w:p>
    <w:p w14:paraId="31F66FE4" w14:textId="77777777" w:rsidR="00A02C3C" w:rsidRDefault="00A02C3C">
      <w:pPr>
        <w:pStyle w:val="Standard"/>
        <w:spacing w:line="247" w:lineRule="auto"/>
        <w:rPr>
          <w:b/>
          <w:bCs/>
          <w:u w:val="single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459"/>
        <w:gridCol w:w="1981"/>
        <w:gridCol w:w="2200"/>
        <w:gridCol w:w="908"/>
        <w:gridCol w:w="2152"/>
      </w:tblGrid>
      <w:tr w:rsidR="00A02C3C" w:rsidRPr="00A02C3C" w14:paraId="04EC7673" w14:textId="77777777" w:rsidTr="00880878">
        <w:trPr>
          <w:gridAfter w:val="2"/>
          <w:wAfter w:w="3060" w:type="dxa"/>
          <w:trHeight w:val="60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7A9"/>
            <w:noWrap/>
            <w:vAlign w:val="center"/>
            <w:hideMark/>
          </w:tcPr>
          <w:p w14:paraId="7963CE40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n-GB" w:bidi="ar-SA"/>
              </w:rPr>
            </w:pPr>
            <w:r w:rsidRPr="00A02C3C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n-GB" w:bidi="ar-SA"/>
              </w:rPr>
              <w:t xml:space="preserve">Total Scope Breakdown </w:t>
            </w:r>
          </w:p>
        </w:tc>
      </w:tr>
      <w:tr w:rsidR="00A02C3C" w:rsidRPr="00A02C3C" w14:paraId="44F6013D" w14:textId="77777777" w:rsidTr="00880878">
        <w:trPr>
          <w:gridAfter w:val="2"/>
          <w:wAfter w:w="3060" w:type="dxa"/>
          <w:trHeight w:val="5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D5D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n-GB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A3B3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A02C3C" w:rsidRPr="00A02C3C" w14:paraId="0DD4EE6D" w14:textId="77777777" w:rsidTr="00880878">
        <w:trPr>
          <w:gridAfter w:val="2"/>
          <w:wAfter w:w="3060" w:type="dxa"/>
          <w:trHeight w:val="679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14:paraId="2C9A5AA0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n-GB" w:bidi="ar-SA"/>
              </w:rPr>
            </w:pPr>
            <w:r w:rsidRPr="00A02C3C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n-GB" w:bidi="ar-SA"/>
              </w:rPr>
              <w:t>Scope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14:paraId="38938152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n-GB" w:bidi="ar-SA"/>
              </w:rPr>
            </w:pPr>
            <w:r w:rsidRPr="00A02C3C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n-GB" w:bidi="ar-SA"/>
              </w:rPr>
              <w:t>Total metric tons of CO</w:t>
            </w:r>
            <w:r w:rsidRPr="00A02C3C">
              <w:rPr>
                <w:rFonts w:eastAsia="Times New Roman"/>
                <w:b/>
                <w:bCs/>
                <w:color w:val="FFFFFF"/>
                <w:sz w:val="24"/>
                <w:szCs w:val="24"/>
                <w:vertAlign w:val="subscript"/>
                <w:lang w:eastAsia="en-GB" w:bidi="ar-SA"/>
              </w:rPr>
              <w:t>2</w:t>
            </w:r>
            <w:r w:rsidRPr="00A02C3C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en-GB" w:bidi="ar-SA"/>
              </w:rPr>
              <w:t>e</w:t>
            </w:r>
          </w:p>
        </w:tc>
      </w:tr>
      <w:tr w:rsidR="00A02C3C" w:rsidRPr="00A02C3C" w14:paraId="7316E578" w14:textId="77777777" w:rsidTr="00880878">
        <w:trPr>
          <w:gridAfter w:val="2"/>
          <w:wAfter w:w="3060" w:type="dxa"/>
          <w:trHeight w:val="105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1DD"/>
            <w:noWrap/>
            <w:vAlign w:val="center"/>
            <w:hideMark/>
          </w:tcPr>
          <w:p w14:paraId="3CCB7196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A02C3C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 xml:space="preserve">Scope 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1DD"/>
            <w:noWrap/>
            <w:vAlign w:val="center"/>
            <w:hideMark/>
          </w:tcPr>
          <w:p w14:paraId="63D164DA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A02C3C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A02C3C" w:rsidRPr="00A02C3C" w14:paraId="6115826F" w14:textId="77777777" w:rsidTr="00880878">
        <w:trPr>
          <w:gridAfter w:val="2"/>
          <w:wAfter w:w="3060" w:type="dxa"/>
          <w:trHeight w:val="46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D177"/>
            <w:noWrap/>
            <w:vAlign w:val="center"/>
            <w:hideMark/>
          </w:tcPr>
          <w:p w14:paraId="506E2A79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A02C3C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Scope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D177"/>
            <w:noWrap/>
            <w:vAlign w:val="center"/>
            <w:hideMark/>
          </w:tcPr>
          <w:p w14:paraId="2D6043CB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A02C3C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2.2</w:t>
            </w:r>
          </w:p>
        </w:tc>
      </w:tr>
      <w:tr w:rsidR="00A02C3C" w:rsidRPr="00A02C3C" w14:paraId="368723C4" w14:textId="77777777" w:rsidTr="00880878">
        <w:trPr>
          <w:gridAfter w:val="2"/>
          <w:wAfter w:w="3060" w:type="dxa"/>
          <w:trHeight w:val="46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1139C54D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A02C3C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 xml:space="preserve">Scope 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7052E0CE" w14:textId="77777777" w:rsidR="00A02C3C" w:rsidRPr="00A02C3C" w:rsidRDefault="00A02C3C" w:rsidP="00A02C3C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A02C3C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26.1</w:t>
            </w:r>
          </w:p>
        </w:tc>
      </w:tr>
      <w:tr w:rsidR="00880878" w:rsidRPr="00880878" w14:paraId="09A04341" w14:textId="77777777" w:rsidTr="00880878">
        <w:trPr>
          <w:trHeight w:val="3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bottom"/>
            <w:hideMark/>
          </w:tcPr>
          <w:p w14:paraId="74602407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lastRenderedPageBreak/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14:paraId="275320F9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t>Description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14:paraId="3B24B0D2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t>Metric tons of CO</w:t>
            </w: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vertAlign w:val="subscript"/>
                <w:lang w:eastAsia="en-GB" w:bidi="ar-SA"/>
              </w:rPr>
              <w:t>2</w:t>
            </w: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t>e</w:t>
            </w:r>
          </w:p>
        </w:tc>
      </w:tr>
      <w:tr w:rsidR="00880878" w:rsidRPr="00880878" w14:paraId="46D2312D" w14:textId="77777777" w:rsidTr="00880878">
        <w:trPr>
          <w:trHeight w:val="57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7D1DD"/>
            <w:noWrap/>
            <w:textDirection w:val="btLr"/>
            <w:vAlign w:val="center"/>
            <w:hideMark/>
          </w:tcPr>
          <w:p w14:paraId="6440DBB8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Scope 1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1DD"/>
            <w:noWrap/>
            <w:vAlign w:val="center"/>
            <w:hideMark/>
          </w:tcPr>
          <w:p w14:paraId="273A0A25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Office emissions (gas)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1DD"/>
            <w:noWrap/>
            <w:vAlign w:val="center"/>
            <w:hideMark/>
          </w:tcPr>
          <w:p w14:paraId="78A40148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24234A8E" w14:textId="77777777" w:rsidTr="00880878">
        <w:trPr>
          <w:trHeight w:val="29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5554E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1DD"/>
            <w:noWrap/>
            <w:vAlign w:val="center"/>
            <w:hideMark/>
          </w:tcPr>
          <w:p w14:paraId="2F964F87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Other Scope 1 emissions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1DD"/>
            <w:noWrap/>
            <w:vAlign w:val="center"/>
            <w:hideMark/>
          </w:tcPr>
          <w:p w14:paraId="3475BEBE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2A15D663" w14:textId="77777777" w:rsidTr="00880878">
        <w:trPr>
          <w:trHeight w:val="105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D177"/>
            <w:noWrap/>
            <w:textDirection w:val="btLr"/>
            <w:vAlign w:val="center"/>
            <w:hideMark/>
          </w:tcPr>
          <w:p w14:paraId="78EFE0A8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Scope 2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D177"/>
            <w:noWrap/>
            <w:vAlign w:val="center"/>
            <w:hideMark/>
          </w:tcPr>
          <w:p w14:paraId="258A7A47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Office emissions (electricity)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D177"/>
            <w:noWrap/>
            <w:vAlign w:val="center"/>
            <w:hideMark/>
          </w:tcPr>
          <w:p w14:paraId="4C81C956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2.2</w:t>
            </w:r>
          </w:p>
        </w:tc>
      </w:tr>
      <w:tr w:rsidR="00880878" w:rsidRPr="00880878" w14:paraId="069231D8" w14:textId="77777777" w:rsidTr="00880878">
        <w:trPr>
          <w:trHeight w:val="30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4DFD6"/>
            <w:noWrap/>
            <w:textDirection w:val="btLr"/>
            <w:vAlign w:val="center"/>
            <w:hideMark/>
          </w:tcPr>
          <w:p w14:paraId="22CE6E41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Scope 3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646888BB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Homeworker electricity emissions (home office)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195254F6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0.2</w:t>
            </w:r>
          </w:p>
        </w:tc>
      </w:tr>
      <w:tr w:rsidR="00880878" w:rsidRPr="00880878" w14:paraId="101FCED9" w14:textId="77777777" w:rsidTr="00880878">
        <w:trPr>
          <w:trHeight w:val="28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EE218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51847627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Homeworker electricity emissions (air-conditioning)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61B5A24A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0D078408" w14:textId="77777777" w:rsidTr="00880878">
        <w:trPr>
          <w:trHeight w:val="11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F05C4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059D0D1E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Homeworker gas emissions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750CF45D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08FA19CE" w14:textId="77777777" w:rsidTr="00880878">
        <w:trPr>
          <w:trHeight w:val="164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0DE46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433C2C8C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Diesel emissions (commute)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7685E048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02E05B69" w14:textId="77777777" w:rsidTr="00880878">
        <w:trPr>
          <w:trHeight w:val="20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C99D2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47661103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Petrol emissions (commute)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31A78685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2747DEDE" w14:textId="77777777" w:rsidTr="00880878">
        <w:trPr>
          <w:trHeight w:val="254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F7C5F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76F32F50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Hybrid emissions (commute)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6A6B0912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34EBB44F" w14:textId="77777777" w:rsidTr="00880878">
        <w:trPr>
          <w:trHeight w:val="14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DB0A3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58AE035A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Motorbike emissions (commute)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26C37EFF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65E9DE09" w14:textId="77777777" w:rsidTr="00880878">
        <w:trPr>
          <w:trHeight w:val="19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112F7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79F16684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Train emissions (commute)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3CF6DF86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0.9</w:t>
            </w:r>
          </w:p>
        </w:tc>
      </w:tr>
      <w:tr w:rsidR="00880878" w:rsidRPr="00880878" w14:paraId="24444358" w14:textId="77777777" w:rsidTr="00880878">
        <w:trPr>
          <w:trHeight w:val="22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7EE9D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5D89D3BA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Bus emissions (commute)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0B8C667B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3DD77DA2" w14:textId="77777777" w:rsidTr="00880878">
        <w:trPr>
          <w:trHeight w:val="26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84575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28ED8614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Taxi emissions (commute)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3B3D684F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57B67274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B8F04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63AA33CA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Train emissions (in work travel)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1391B416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36E90D77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1AA67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1102F83A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Diesel emissions (in work travel)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39F9957F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21.7</w:t>
            </w:r>
          </w:p>
        </w:tc>
      </w:tr>
      <w:tr w:rsidR="00880878" w:rsidRPr="00880878" w14:paraId="20F81A76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67063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63025DDB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Petrol emissions (in work travel)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6CD776DE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0.1</w:t>
            </w:r>
          </w:p>
        </w:tc>
      </w:tr>
      <w:tr w:rsidR="00880878" w:rsidRPr="00880878" w14:paraId="361C8FA0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BE56D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6E3D6827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Hybrid emissions (in work travel)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44D18D0A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3456A5F7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EC28C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313A2B09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Bus emissions (in work travel)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1F91B843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00555128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9B8BA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0AA09E6A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Taxi emissions (in work travel)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4EE9F47D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3C8511D4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714AA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6480B33F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Plane emissions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386958EB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5BA64D38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9BF6A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090137B4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Hotel emissions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0EC2A0FA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0.8</w:t>
            </w:r>
          </w:p>
        </w:tc>
      </w:tr>
      <w:tr w:rsidR="00880878" w:rsidRPr="00880878" w14:paraId="6CFC5A22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D323E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47AD2048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Additional estimates for purchases of goods and services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57BC46FE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2.5</w:t>
            </w:r>
          </w:p>
        </w:tc>
      </w:tr>
      <w:tr w:rsidR="00880878" w:rsidRPr="00880878" w14:paraId="0D290A3B" w14:textId="77777777" w:rsidTr="00880878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ABEB8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25134FC5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Other Scope 3 emissions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DFD6"/>
            <w:noWrap/>
            <w:vAlign w:val="center"/>
            <w:hideMark/>
          </w:tcPr>
          <w:p w14:paraId="70E7F182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0.0</w:t>
            </w:r>
          </w:p>
        </w:tc>
      </w:tr>
      <w:tr w:rsidR="00880878" w:rsidRPr="00880878" w14:paraId="185EB34E" w14:textId="77777777" w:rsidTr="00880878">
        <w:trPr>
          <w:trHeight w:val="68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D72"/>
            <w:noWrap/>
            <w:textDirection w:val="btLr"/>
            <w:vAlign w:val="center"/>
            <w:hideMark/>
          </w:tcPr>
          <w:p w14:paraId="7A7A329A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t>Total emissions</w:t>
            </w: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vAlign w:val="center"/>
            <w:hideMark/>
          </w:tcPr>
          <w:p w14:paraId="3CF42E7D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  <w:t>Company CO</w:t>
            </w:r>
            <w:r w:rsidRPr="00880878">
              <w:rPr>
                <w:rFonts w:eastAsia="Times New Roman"/>
                <w:color w:val="FFFFFF"/>
                <w:sz w:val="20"/>
                <w:szCs w:val="20"/>
                <w:vertAlign w:val="subscript"/>
                <w:lang w:eastAsia="en-GB" w:bidi="ar-SA"/>
              </w:rPr>
              <w:t>2</w:t>
            </w:r>
            <w:r w:rsidRPr="00880878"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  <w:t xml:space="preserve"> Emissions (tons)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noWrap/>
            <w:vAlign w:val="center"/>
            <w:hideMark/>
          </w:tcPr>
          <w:p w14:paraId="7EA844A7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t>28.35</w:t>
            </w:r>
          </w:p>
        </w:tc>
      </w:tr>
      <w:tr w:rsidR="00880878" w:rsidRPr="00880878" w14:paraId="3F5E3FE5" w14:textId="77777777" w:rsidTr="00880878">
        <w:trPr>
          <w:trHeight w:val="68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7BE6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vAlign w:val="center"/>
            <w:hideMark/>
          </w:tcPr>
          <w:p w14:paraId="2DCAE1C0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  <w:t>Average CO</w:t>
            </w:r>
            <w:r w:rsidRPr="00880878">
              <w:rPr>
                <w:rFonts w:eastAsia="Times New Roman"/>
                <w:color w:val="FFFFFF"/>
                <w:sz w:val="20"/>
                <w:szCs w:val="20"/>
                <w:vertAlign w:val="subscript"/>
                <w:lang w:eastAsia="en-GB" w:bidi="ar-SA"/>
              </w:rPr>
              <w:t>2</w:t>
            </w:r>
            <w:r w:rsidRPr="00880878"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  <w:t xml:space="preserve"> Emissions per person (tons)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noWrap/>
            <w:vAlign w:val="center"/>
            <w:hideMark/>
          </w:tcPr>
          <w:p w14:paraId="5B434942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t>2.835</w:t>
            </w:r>
          </w:p>
        </w:tc>
      </w:tr>
      <w:tr w:rsidR="00880878" w:rsidRPr="00880878" w14:paraId="214A22F0" w14:textId="77777777" w:rsidTr="00880878">
        <w:trPr>
          <w:trHeight w:val="68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02A5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vAlign w:val="center"/>
            <w:hideMark/>
          </w:tcPr>
          <w:p w14:paraId="50602E3C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  <w:t>Average CO</w:t>
            </w:r>
            <w:r w:rsidRPr="00880878">
              <w:rPr>
                <w:rFonts w:eastAsia="Times New Roman"/>
                <w:color w:val="FFFFFF"/>
                <w:sz w:val="20"/>
                <w:szCs w:val="20"/>
                <w:vertAlign w:val="subscript"/>
                <w:lang w:eastAsia="en-GB" w:bidi="ar-SA"/>
              </w:rPr>
              <w:t>2</w:t>
            </w:r>
            <w:r w:rsidRPr="00880878"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  <w:t xml:space="preserve"> Emissions per person per day (kgs)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noWrap/>
            <w:vAlign w:val="center"/>
            <w:hideMark/>
          </w:tcPr>
          <w:p w14:paraId="14DA99C7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t>7.77</w:t>
            </w:r>
          </w:p>
        </w:tc>
      </w:tr>
      <w:tr w:rsidR="00880878" w:rsidRPr="00880878" w14:paraId="24351FD4" w14:textId="77777777" w:rsidTr="00880878">
        <w:trPr>
          <w:trHeight w:val="68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1B25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vAlign w:val="center"/>
            <w:hideMark/>
          </w:tcPr>
          <w:p w14:paraId="74BD18A1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  <w:t>Equivalent airmiles travelled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noWrap/>
            <w:vAlign w:val="center"/>
            <w:hideMark/>
          </w:tcPr>
          <w:p w14:paraId="1566CF8D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t>96,887</w:t>
            </w:r>
          </w:p>
        </w:tc>
      </w:tr>
      <w:tr w:rsidR="00880878" w:rsidRPr="00880878" w14:paraId="73E781A6" w14:textId="77777777" w:rsidTr="00880878">
        <w:trPr>
          <w:trHeight w:val="68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C60F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vAlign w:val="center"/>
            <w:hideMark/>
          </w:tcPr>
          <w:p w14:paraId="5C44F035" w14:textId="77777777" w:rsidR="00880878" w:rsidRPr="00880878" w:rsidRDefault="00880878" w:rsidP="00880878">
            <w:pPr>
              <w:suppressAutoHyphens w:val="0"/>
              <w:autoSpaceDN/>
              <w:textAlignment w:val="auto"/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color w:val="FFFFFF"/>
                <w:sz w:val="20"/>
                <w:szCs w:val="20"/>
                <w:lang w:eastAsia="en-GB" w:bidi="ar-SA"/>
              </w:rPr>
              <w:t>Trees required to offset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D72"/>
            <w:noWrap/>
            <w:vAlign w:val="center"/>
            <w:hideMark/>
          </w:tcPr>
          <w:p w14:paraId="5BC01B63" w14:textId="77777777" w:rsidR="00880878" w:rsidRPr="00880878" w:rsidRDefault="00880878" w:rsidP="00880878">
            <w:pPr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88087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 w:bidi="ar-SA"/>
              </w:rPr>
              <w:t>425</w:t>
            </w:r>
          </w:p>
        </w:tc>
      </w:tr>
    </w:tbl>
    <w:p w14:paraId="6566C5AC" w14:textId="77777777" w:rsidR="00A02C3C" w:rsidRDefault="00A02C3C">
      <w:pPr>
        <w:pStyle w:val="Standard"/>
        <w:spacing w:line="247" w:lineRule="auto"/>
        <w:rPr>
          <w:b/>
          <w:bCs/>
          <w:u w:val="single"/>
        </w:rPr>
      </w:pPr>
    </w:p>
    <w:p w14:paraId="2F6CE783" w14:textId="77777777" w:rsidR="00A02C3C" w:rsidRDefault="00A02C3C">
      <w:pPr>
        <w:pStyle w:val="Standard"/>
        <w:spacing w:line="247" w:lineRule="auto"/>
        <w:rPr>
          <w:b/>
          <w:bCs/>
          <w:u w:val="single"/>
        </w:rPr>
      </w:pPr>
    </w:p>
    <w:p w14:paraId="69A69AD0" w14:textId="32BA481A" w:rsidR="00E621A2" w:rsidRDefault="00000000">
      <w:pPr>
        <w:pStyle w:val="Standard"/>
        <w:spacing w:line="247" w:lineRule="auto"/>
        <w:rPr>
          <w:b/>
          <w:bCs/>
          <w:u w:val="single"/>
        </w:rPr>
      </w:pPr>
      <w:r w:rsidRPr="00F53397">
        <w:rPr>
          <w:b/>
          <w:bCs/>
          <w:u w:val="single"/>
        </w:rPr>
        <w:lastRenderedPageBreak/>
        <w:t>In the future we hope to implement further measures such as:</w:t>
      </w:r>
    </w:p>
    <w:p w14:paraId="59C11F09" w14:textId="77777777" w:rsidR="00F53397" w:rsidRPr="00F53397" w:rsidRDefault="00F53397">
      <w:pPr>
        <w:pStyle w:val="Standard"/>
        <w:spacing w:line="247" w:lineRule="auto"/>
        <w:rPr>
          <w:b/>
          <w:bCs/>
          <w:u w:val="single"/>
        </w:rPr>
      </w:pPr>
    </w:p>
    <w:p w14:paraId="53C12D45" w14:textId="77777777" w:rsidR="00F53397" w:rsidRPr="00F53397" w:rsidRDefault="00F53397" w:rsidP="00F53397">
      <w:pPr>
        <w:pStyle w:val="Standard"/>
        <w:spacing w:line="247" w:lineRule="auto"/>
        <w:rPr>
          <w:b/>
          <w:bCs/>
        </w:rPr>
      </w:pPr>
      <w:r w:rsidRPr="00F53397">
        <w:rPr>
          <w:b/>
          <w:bCs/>
        </w:rPr>
        <w:t>1. Energy Efficiency</w:t>
      </w:r>
    </w:p>
    <w:p w14:paraId="34F297B1" w14:textId="77777777" w:rsidR="00F53397" w:rsidRPr="00F53397" w:rsidRDefault="00F53397" w:rsidP="00F53397">
      <w:pPr>
        <w:pStyle w:val="Standard"/>
        <w:numPr>
          <w:ilvl w:val="0"/>
          <w:numId w:val="4"/>
        </w:numPr>
        <w:spacing w:line="247" w:lineRule="auto"/>
      </w:pPr>
      <w:r w:rsidRPr="00F53397">
        <w:rPr>
          <w:b/>
          <w:bCs/>
        </w:rPr>
        <w:t>Upgrade Lighting:</w:t>
      </w:r>
      <w:r w:rsidRPr="00F53397">
        <w:t xml:space="preserve"> Replace incandescent bulbs with LED lights, which use less energy and last longer.</w:t>
      </w:r>
    </w:p>
    <w:p w14:paraId="59B24328" w14:textId="77777777" w:rsidR="00F53397" w:rsidRPr="00F53397" w:rsidRDefault="00F53397" w:rsidP="00F53397">
      <w:pPr>
        <w:pStyle w:val="Standard"/>
        <w:numPr>
          <w:ilvl w:val="0"/>
          <w:numId w:val="4"/>
        </w:numPr>
        <w:spacing w:line="247" w:lineRule="auto"/>
      </w:pPr>
      <w:r w:rsidRPr="00F53397">
        <w:rPr>
          <w:b/>
          <w:bCs/>
        </w:rPr>
        <w:t>Efficient Appliances:</w:t>
      </w:r>
      <w:r w:rsidRPr="00F53397">
        <w:t xml:space="preserve"> Use energy-efficient appliances (like those with Energy Star ratings) for heating, cooling, and office equipment.</w:t>
      </w:r>
    </w:p>
    <w:p w14:paraId="26C737EA" w14:textId="77777777" w:rsidR="00F53397" w:rsidRPr="00F53397" w:rsidRDefault="00F53397" w:rsidP="00F53397">
      <w:pPr>
        <w:pStyle w:val="Standard"/>
        <w:numPr>
          <w:ilvl w:val="0"/>
          <w:numId w:val="4"/>
        </w:numPr>
        <w:spacing w:line="247" w:lineRule="auto"/>
      </w:pPr>
      <w:r w:rsidRPr="00F53397">
        <w:rPr>
          <w:b/>
          <w:bCs/>
        </w:rPr>
        <w:t>Power Management:</w:t>
      </w:r>
      <w:r w:rsidRPr="00F53397">
        <w:t xml:space="preserve"> Implement power management settings on computers and other electronics to reduce energy use when idle.</w:t>
      </w:r>
    </w:p>
    <w:p w14:paraId="43B8D271" w14:textId="77777777" w:rsidR="00F53397" w:rsidRPr="00F53397" w:rsidRDefault="00F53397" w:rsidP="00F53397">
      <w:pPr>
        <w:pStyle w:val="Standard"/>
        <w:spacing w:line="247" w:lineRule="auto"/>
        <w:rPr>
          <w:b/>
          <w:bCs/>
        </w:rPr>
      </w:pPr>
      <w:r w:rsidRPr="00F53397">
        <w:rPr>
          <w:b/>
          <w:bCs/>
        </w:rPr>
        <w:t>2. Reduce Waste</w:t>
      </w:r>
    </w:p>
    <w:p w14:paraId="246E0900" w14:textId="77777777" w:rsidR="00F53397" w:rsidRPr="00F53397" w:rsidRDefault="00F53397" w:rsidP="00F53397">
      <w:pPr>
        <w:pStyle w:val="Standard"/>
        <w:numPr>
          <w:ilvl w:val="0"/>
          <w:numId w:val="5"/>
        </w:numPr>
        <w:spacing w:line="247" w:lineRule="auto"/>
      </w:pPr>
      <w:r w:rsidRPr="00F53397">
        <w:rPr>
          <w:b/>
          <w:bCs/>
        </w:rPr>
        <w:t>Digitalize:</w:t>
      </w:r>
      <w:r w:rsidRPr="00F53397">
        <w:t xml:space="preserve"> Move towards a paperless office by using digital invoicing, contracts, and communication.</w:t>
      </w:r>
    </w:p>
    <w:p w14:paraId="2C5C1793" w14:textId="77777777" w:rsidR="00F53397" w:rsidRPr="00F53397" w:rsidRDefault="00F53397" w:rsidP="00F53397">
      <w:pPr>
        <w:pStyle w:val="Standard"/>
        <w:numPr>
          <w:ilvl w:val="0"/>
          <w:numId w:val="5"/>
        </w:numPr>
        <w:spacing w:line="247" w:lineRule="auto"/>
      </w:pPr>
      <w:r w:rsidRPr="00F53397">
        <w:rPr>
          <w:b/>
          <w:bCs/>
        </w:rPr>
        <w:t>Recycling Programs:</w:t>
      </w:r>
      <w:r w:rsidRPr="00F53397">
        <w:t xml:space="preserve"> Set up a recycling program for paper, plastics, and electronics.</w:t>
      </w:r>
    </w:p>
    <w:p w14:paraId="64011C52" w14:textId="77777777" w:rsidR="00F53397" w:rsidRPr="00F53397" w:rsidRDefault="00F53397" w:rsidP="00F53397">
      <w:pPr>
        <w:pStyle w:val="Standard"/>
        <w:numPr>
          <w:ilvl w:val="0"/>
          <w:numId w:val="5"/>
        </w:numPr>
        <w:spacing w:line="247" w:lineRule="auto"/>
      </w:pPr>
      <w:r w:rsidRPr="00F53397">
        <w:rPr>
          <w:b/>
          <w:bCs/>
        </w:rPr>
        <w:t>Compost Organic Waste:</w:t>
      </w:r>
      <w:r w:rsidRPr="00F53397">
        <w:t xml:space="preserve"> If you generate organic waste (e.g., a small café), consider composting instead of sending it to a landfill.</w:t>
      </w:r>
    </w:p>
    <w:p w14:paraId="19A85F4A" w14:textId="77777777" w:rsidR="00F53397" w:rsidRPr="00F53397" w:rsidRDefault="00F53397" w:rsidP="00F53397">
      <w:pPr>
        <w:pStyle w:val="Standard"/>
        <w:spacing w:line="247" w:lineRule="auto"/>
        <w:rPr>
          <w:b/>
          <w:bCs/>
        </w:rPr>
      </w:pPr>
      <w:r w:rsidRPr="00F53397">
        <w:rPr>
          <w:b/>
          <w:bCs/>
        </w:rPr>
        <w:t>3. Sustainable Procurement</w:t>
      </w:r>
    </w:p>
    <w:p w14:paraId="6B5C6A21" w14:textId="77777777" w:rsidR="00F53397" w:rsidRPr="00F53397" w:rsidRDefault="00F53397" w:rsidP="00F53397">
      <w:pPr>
        <w:pStyle w:val="Standard"/>
        <w:numPr>
          <w:ilvl w:val="0"/>
          <w:numId w:val="6"/>
        </w:numPr>
        <w:spacing w:line="247" w:lineRule="auto"/>
      </w:pPr>
      <w:r w:rsidRPr="00F53397">
        <w:rPr>
          <w:b/>
          <w:bCs/>
        </w:rPr>
        <w:t>Eco-friendly Suppliers:</w:t>
      </w:r>
      <w:r w:rsidRPr="00F53397">
        <w:t xml:space="preserve"> Choose suppliers who have sustainable practices, such as using recycled materials or renewable energy.</w:t>
      </w:r>
    </w:p>
    <w:p w14:paraId="5360626F" w14:textId="77777777" w:rsidR="00F53397" w:rsidRPr="00F53397" w:rsidRDefault="00F53397" w:rsidP="00F53397">
      <w:pPr>
        <w:pStyle w:val="Standard"/>
        <w:numPr>
          <w:ilvl w:val="0"/>
          <w:numId w:val="6"/>
        </w:numPr>
        <w:spacing w:line="247" w:lineRule="auto"/>
      </w:pPr>
      <w:r w:rsidRPr="00F53397">
        <w:rPr>
          <w:b/>
          <w:bCs/>
        </w:rPr>
        <w:t>Local Sourcing:</w:t>
      </w:r>
      <w:r w:rsidRPr="00F53397">
        <w:t xml:space="preserve"> Source products locally to reduce transportation emissions.</w:t>
      </w:r>
    </w:p>
    <w:p w14:paraId="33AD0C46" w14:textId="77777777" w:rsidR="00F53397" w:rsidRPr="00F53397" w:rsidRDefault="00F53397" w:rsidP="00F53397">
      <w:pPr>
        <w:pStyle w:val="Standard"/>
        <w:numPr>
          <w:ilvl w:val="0"/>
          <w:numId w:val="6"/>
        </w:numPr>
        <w:spacing w:line="247" w:lineRule="auto"/>
      </w:pPr>
      <w:r w:rsidRPr="00F53397">
        <w:rPr>
          <w:b/>
          <w:bCs/>
        </w:rPr>
        <w:t>Sustainable Packaging:</w:t>
      </w:r>
      <w:r w:rsidRPr="00F53397">
        <w:t xml:space="preserve"> Use biodegradable or recyclable packaging materials.</w:t>
      </w:r>
    </w:p>
    <w:p w14:paraId="10BCAC01" w14:textId="77777777" w:rsidR="00F53397" w:rsidRPr="00F53397" w:rsidRDefault="00F53397" w:rsidP="00F53397">
      <w:pPr>
        <w:pStyle w:val="Standard"/>
        <w:spacing w:line="247" w:lineRule="auto"/>
        <w:rPr>
          <w:b/>
          <w:bCs/>
        </w:rPr>
      </w:pPr>
      <w:r w:rsidRPr="00F53397">
        <w:rPr>
          <w:b/>
          <w:bCs/>
        </w:rPr>
        <w:t>4. Transportation</w:t>
      </w:r>
    </w:p>
    <w:p w14:paraId="311F5C49" w14:textId="77777777" w:rsidR="00F53397" w:rsidRPr="00F53397" w:rsidRDefault="00F53397" w:rsidP="00F53397">
      <w:pPr>
        <w:pStyle w:val="Standard"/>
        <w:numPr>
          <w:ilvl w:val="0"/>
          <w:numId w:val="7"/>
        </w:numPr>
        <w:spacing w:line="247" w:lineRule="auto"/>
      </w:pPr>
      <w:r w:rsidRPr="00F53397">
        <w:rPr>
          <w:b/>
          <w:bCs/>
        </w:rPr>
        <w:t>Remote Work:</w:t>
      </w:r>
      <w:r w:rsidRPr="00F53397">
        <w:t xml:space="preserve"> Encourage remote working options to reduce commuting-related emissions.</w:t>
      </w:r>
    </w:p>
    <w:p w14:paraId="1B241FA8" w14:textId="77777777" w:rsidR="00F53397" w:rsidRPr="00F53397" w:rsidRDefault="00F53397" w:rsidP="00F53397">
      <w:pPr>
        <w:pStyle w:val="Standard"/>
        <w:numPr>
          <w:ilvl w:val="0"/>
          <w:numId w:val="7"/>
        </w:numPr>
        <w:spacing w:line="247" w:lineRule="auto"/>
      </w:pPr>
      <w:r w:rsidRPr="00F53397">
        <w:rPr>
          <w:b/>
          <w:bCs/>
        </w:rPr>
        <w:t>Carpooling:</w:t>
      </w:r>
      <w:r w:rsidRPr="00F53397">
        <w:t xml:space="preserve"> Promote carpooling among employees or opt for public transport where feasible.</w:t>
      </w:r>
    </w:p>
    <w:p w14:paraId="53DF4047" w14:textId="77777777" w:rsidR="00F53397" w:rsidRPr="00F53397" w:rsidRDefault="00F53397" w:rsidP="00F53397">
      <w:pPr>
        <w:pStyle w:val="Standard"/>
        <w:numPr>
          <w:ilvl w:val="0"/>
          <w:numId w:val="7"/>
        </w:numPr>
        <w:spacing w:line="247" w:lineRule="auto"/>
      </w:pPr>
      <w:r w:rsidRPr="00F53397">
        <w:rPr>
          <w:b/>
          <w:bCs/>
        </w:rPr>
        <w:t>Electric Vehicles:</w:t>
      </w:r>
      <w:r w:rsidRPr="00F53397">
        <w:t xml:space="preserve"> If your business requires a vehicle, consider an electric or hybrid vehicle.</w:t>
      </w:r>
    </w:p>
    <w:p w14:paraId="303B1E28" w14:textId="77777777" w:rsidR="002F74BF" w:rsidRDefault="002F74BF" w:rsidP="00F53397">
      <w:pPr>
        <w:pStyle w:val="Standard"/>
        <w:spacing w:line="247" w:lineRule="auto"/>
        <w:rPr>
          <w:b/>
          <w:bCs/>
        </w:rPr>
      </w:pPr>
    </w:p>
    <w:p w14:paraId="22AB1327" w14:textId="77777777" w:rsidR="002F74BF" w:rsidRDefault="002F74BF" w:rsidP="00F53397">
      <w:pPr>
        <w:pStyle w:val="Standard"/>
        <w:spacing w:line="247" w:lineRule="auto"/>
        <w:rPr>
          <w:b/>
          <w:bCs/>
        </w:rPr>
      </w:pPr>
    </w:p>
    <w:p w14:paraId="36B1D23D" w14:textId="6700BEF8" w:rsidR="00F53397" w:rsidRPr="00F53397" w:rsidRDefault="00F53397" w:rsidP="00F53397">
      <w:pPr>
        <w:pStyle w:val="Standard"/>
        <w:spacing w:line="247" w:lineRule="auto"/>
        <w:rPr>
          <w:b/>
          <w:bCs/>
        </w:rPr>
      </w:pPr>
      <w:r w:rsidRPr="00F53397">
        <w:rPr>
          <w:b/>
          <w:bCs/>
        </w:rPr>
        <w:t>5. Water Conservation</w:t>
      </w:r>
    </w:p>
    <w:p w14:paraId="5EDB3DF5" w14:textId="77777777" w:rsidR="00F53397" w:rsidRPr="00F53397" w:rsidRDefault="00F53397" w:rsidP="00F53397">
      <w:pPr>
        <w:pStyle w:val="Standard"/>
        <w:numPr>
          <w:ilvl w:val="0"/>
          <w:numId w:val="8"/>
        </w:numPr>
        <w:spacing w:line="247" w:lineRule="auto"/>
      </w:pPr>
      <w:r w:rsidRPr="00F53397">
        <w:rPr>
          <w:b/>
          <w:bCs/>
        </w:rPr>
        <w:t>Low-flow Fixtures:</w:t>
      </w:r>
      <w:r w:rsidRPr="00F53397">
        <w:t xml:space="preserve"> Install low-flow faucets and toilets to reduce water usage.</w:t>
      </w:r>
    </w:p>
    <w:p w14:paraId="1BE4CB01" w14:textId="77777777" w:rsidR="00F53397" w:rsidRPr="00F53397" w:rsidRDefault="00F53397" w:rsidP="00F53397">
      <w:pPr>
        <w:pStyle w:val="Standard"/>
        <w:numPr>
          <w:ilvl w:val="0"/>
          <w:numId w:val="8"/>
        </w:numPr>
        <w:spacing w:line="247" w:lineRule="auto"/>
      </w:pPr>
      <w:r w:rsidRPr="00F53397">
        <w:rPr>
          <w:b/>
          <w:bCs/>
        </w:rPr>
        <w:t>Fix Leaks:</w:t>
      </w:r>
      <w:r w:rsidRPr="00F53397">
        <w:t xml:space="preserve"> Regularly check and repair any leaks to avoid water wastage.</w:t>
      </w:r>
    </w:p>
    <w:p w14:paraId="334CA787" w14:textId="77777777" w:rsidR="00F53397" w:rsidRPr="00F53397" w:rsidRDefault="00F53397" w:rsidP="00F53397">
      <w:pPr>
        <w:pStyle w:val="Standard"/>
        <w:spacing w:line="247" w:lineRule="auto"/>
        <w:rPr>
          <w:b/>
          <w:bCs/>
        </w:rPr>
      </w:pPr>
      <w:r w:rsidRPr="00F53397">
        <w:rPr>
          <w:b/>
          <w:bCs/>
        </w:rPr>
        <w:t>6. Carbon Offsetting</w:t>
      </w:r>
    </w:p>
    <w:p w14:paraId="1EC3A86F" w14:textId="77777777" w:rsidR="00F53397" w:rsidRPr="00F53397" w:rsidRDefault="00F53397" w:rsidP="00F53397">
      <w:pPr>
        <w:pStyle w:val="Standard"/>
        <w:numPr>
          <w:ilvl w:val="0"/>
          <w:numId w:val="9"/>
        </w:numPr>
        <w:spacing w:line="247" w:lineRule="auto"/>
      </w:pPr>
      <w:r w:rsidRPr="00F53397">
        <w:rPr>
          <w:b/>
          <w:bCs/>
        </w:rPr>
        <w:t>Offset Programs:</w:t>
      </w:r>
      <w:r w:rsidRPr="00F53397">
        <w:t xml:space="preserve"> Consider investing in carbon offset programs to balance out unavoidable emissions.</w:t>
      </w:r>
    </w:p>
    <w:p w14:paraId="53215B40" w14:textId="77777777" w:rsidR="00F53397" w:rsidRPr="00F53397" w:rsidRDefault="00F53397" w:rsidP="00F53397">
      <w:pPr>
        <w:pStyle w:val="Standard"/>
        <w:numPr>
          <w:ilvl w:val="0"/>
          <w:numId w:val="9"/>
        </w:numPr>
        <w:spacing w:line="247" w:lineRule="auto"/>
      </w:pPr>
      <w:r w:rsidRPr="00F53397">
        <w:rPr>
          <w:b/>
          <w:bCs/>
        </w:rPr>
        <w:t>Tree Planting:</w:t>
      </w:r>
      <w:r w:rsidRPr="00F53397">
        <w:t xml:space="preserve"> Participate in or support tree planting initiatives to absorb carbon dioxide.</w:t>
      </w:r>
    </w:p>
    <w:p w14:paraId="41B6978B" w14:textId="77777777" w:rsidR="00F53397" w:rsidRPr="00F53397" w:rsidRDefault="00F53397" w:rsidP="00F53397">
      <w:pPr>
        <w:pStyle w:val="Standard"/>
        <w:spacing w:line="247" w:lineRule="auto"/>
        <w:rPr>
          <w:b/>
          <w:bCs/>
        </w:rPr>
      </w:pPr>
      <w:r w:rsidRPr="00F53397">
        <w:rPr>
          <w:b/>
          <w:bCs/>
        </w:rPr>
        <w:t>7. Employee Engagement</w:t>
      </w:r>
    </w:p>
    <w:p w14:paraId="14E07B8D" w14:textId="77777777" w:rsidR="00F53397" w:rsidRPr="00F53397" w:rsidRDefault="00F53397" w:rsidP="00F53397">
      <w:pPr>
        <w:pStyle w:val="Standard"/>
        <w:numPr>
          <w:ilvl w:val="0"/>
          <w:numId w:val="10"/>
        </w:numPr>
        <w:spacing w:line="247" w:lineRule="auto"/>
      </w:pPr>
      <w:r w:rsidRPr="00F53397">
        <w:rPr>
          <w:b/>
          <w:bCs/>
        </w:rPr>
        <w:t>Sustainability Training:</w:t>
      </w:r>
      <w:r w:rsidRPr="00F53397">
        <w:t xml:space="preserve"> Educate employees about energy conservation, waste reduction, and sustainable practices.</w:t>
      </w:r>
    </w:p>
    <w:p w14:paraId="02F091B7" w14:textId="77777777" w:rsidR="00F53397" w:rsidRPr="00F53397" w:rsidRDefault="00F53397" w:rsidP="00F53397">
      <w:pPr>
        <w:pStyle w:val="Standard"/>
        <w:numPr>
          <w:ilvl w:val="0"/>
          <w:numId w:val="10"/>
        </w:numPr>
        <w:spacing w:line="247" w:lineRule="auto"/>
      </w:pPr>
      <w:r w:rsidRPr="00F53397">
        <w:rPr>
          <w:b/>
          <w:bCs/>
        </w:rPr>
        <w:t>Green Initiatives:</w:t>
      </w:r>
      <w:r w:rsidRPr="00F53397">
        <w:t xml:space="preserve"> Involve employees in sustainability challenges or initiatives, such as reducing office waste or conserving energy.</w:t>
      </w:r>
    </w:p>
    <w:p w14:paraId="6212C383" w14:textId="77777777" w:rsidR="00F53397" w:rsidRPr="00F53397" w:rsidRDefault="00F53397" w:rsidP="00F53397">
      <w:pPr>
        <w:pStyle w:val="Standard"/>
        <w:spacing w:line="247" w:lineRule="auto"/>
        <w:rPr>
          <w:b/>
          <w:bCs/>
        </w:rPr>
      </w:pPr>
      <w:r w:rsidRPr="00F53397">
        <w:rPr>
          <w:b/>
          <w:bCs/>
        </w:rPr>
        <w:t>8. Renewable Energy</w:t>
      </w:r>
    </w:p>
    <w:p w14:paraId="04E374FA" w14:textId="77777777" w:rsidR="00F53397" w:rsidRPr="00F53397" w:rsidRDefault="00F53397" w:rsidP="00F53397">
      <w:pPr>
        <w:pStyle w:val="Standard"/>
        <w:numPr>
          <w:ilvl w:val="0"/>
          <w:numId w:val="11"/>
        </w:numPr>
        <w:spacing w:line="247" w:lineRule="auto"/>
      </w:pPr>
      <w:r w:rsidRPr="00F53397">
        <w:rPr>
          <w:b/>
          <w:bCs/>
        </w:rPr>
        <w:t>Green Energy Supplier:</w:t>
      </w:r>
      <w:r w:rsidRPr="00F53397">
        <w:t xml:space="preserve"> Switch to a renewable energy provider that offers electricity from wind, solar, or hydro sources.</w:t>
      </w:r>
    </w:p>
    <w:p w14:paraId="250B5305" w14:textId="77777777" w:rsidR="00F53397" w:rsidRPr="00F53397" w:rsidRDefault="00F53397" w:rsidP="00F53397">
      <w:pPr>
        <w:pStyle w:val="Standard"/>
        <w:numPr>
          <w:ilvl w:val="0"/>
          <w:numId w:val="11"/>
        </w:numPr>
        <w:spacing w:line="247" w:lineRule="auto"/>
      </w:pPr>
      <w:r w:rsidRPr="00F53397">
        <w:rPr>
          <w:b/>
          <w:bCs/>
        </w:rPr>
        <w:t>Solar Panels:</w:t>
      </w:r>
      <w:r w:rsidRPr="00F53397">
        <w:t xml:space="preserve"> If feasible, install solar panels to generate your own renewable energy.</w:t>
      </w:r>
    </w:p>
    <w:p w14:paraId="3E7CA322" w14:textId="77777777" w:rsidR="00F53397" w:rsidRPr="00F53397" w:rsidRDefault="00F53397" w:rsidP="00F53397">
      <w:pPr>
        <w:pStyle w:val="Standard"/>
        <w:spacing w:line="247" w:lineRule="auto"/>
        <w:rPr>
          <w:b/>
          <w:bCs/>
        </w:rPr>
      </w:pPr>
      <w:r w:rsidRPr="00F53397">
        <w:rPr>
          <w:b/>
          <w:bCs/>
        </w:rPr>
        <w:t>9. Monitor and Measure</w:t>
      </w:r>
    </w:p>
    <w:p w14:paraId="4E8B31A8" w14:textId="77777777" w:rsidR="00F53397" w:rsidRPr="00F53397" w:rsidRDefault="00F53397" w:rsidP="00F53397">
      <w:pPr>
        <w:pStyle w:val="Standard"/>
        <w:numPr>
          <w:ilvl w:val="0"/>
          <w:numId w:val="12"/>
        </w:numPr>
        <w:spacing w:line="247" w:lineRule="auto"/>
      </w:pPr>
      <w:r w:rsidRPr="00F53397">
        <w:rPr>
          <w:b/>
          <w:bCs/>
        </w:rPr>
        <w:t>Energy Audits:</w:t>
      </w:r>
      <w:r w:rsidRPr="00F53397">
        <w:t xml:space="preserve"> Conduct regular energy audits to identify areas where energy consumption can </w:t>
      </w:r>
      <w:proofErr w:type="gramStart"/>
      <w:r w:rsidRPr="00F53397">
        <w:t>be reduced</w:t>
      </w:r>
      <w:proofErr w:type="gramEnd"/>
      <w:r w:rsidRPr="00F53397">
        <w:t>.</w:t>
      </w:r>
    </w:p>
    <w:p w14:paraId="4CFCDFDC" w14:textId="77777777" w:rsidR="00F53397" w:rsidRPr="00F53397" w:rsidRDefault="00F53397" w:rsidP="00F53397">
      <w:pPr>
        <w:pStyle w:val="Standard"/>
        <w:numPr>
          <w:ilvl w:val="0"/>
          <w:numId w:val="12"/>
        </w:numPr>
        <w:spacing w:line="247" w:lineRule="auto"/>
      </w:pPr>
      <w:r w:rsidRPr="00F53397">
        <w:rPr>
          <w:b/>
          <w:bCs/>
        </w:rPr>
        <w:t>Carbon Footprint Calculator:</w:t>
      </w:r>
      <w:r w:rsidRPr="00F53397">
        <w:t xml:space="preserve"> Use online tools to track and measure your carbon footprint to monitor progress over time.</w:t>
      </w:r>
    </w:p>
    <w:p w14:paraId="54B3D310" w14:textId="60D07EE0" w:rsidR="00E621A2" w:rsidRDefault="00000000">
      <w:pPr>
        <w:pStyle w:val="Heading1"/>
        <w:spacing w:before="360" w:line="247" w:lineRule="auto"/>
      </w:pPr>
      <w:bookmarkStart w:id="4" w:name="_heading=h.1pxezwc"/>
      <w:bookmarkStart w:id="5" w:name="_heading=h.49x2ik5"/>
      <w:bookmarkEnd w:id="4"/>
      <w:bookmarkEnd w:id="5"/>
      <w:r>
        <w:rPr>
          <w:b/>
          <w:sz w:val="28"/>
          <w:szCs w:val="28"/>
        </w:rPr>
        <w:lastRenderedPageBreak/>
        <w:t>Declaration and Sign Off</w:t>
      </w:r>
    </w:p>
    <w:p w14:paraId="2AD1F482" w14:textId="649AAD13" w:rsidR="00E621A2" w:rsidRDefault="00000000">
      <w:pPr>
        <w:pStyle w:val="Standard"/>
        <w:spacing w:after="300" w:line="247" w:lineRule="auto"/>
      </w:pPr>
      <w:r>
        <w:t xml:space="preserve">This Carbon Reduction Plan has been completed in accordance with PPN 06/21 and associated guidance and reporting standard for Carbon Reduction </w:t>
      </w:r>
      <w:proofErr w:type="spellStart"/>
      <w:r>
        <w:t>Plans.Emissions</w:t>
      </w:r>
      <w:proofErr w:type="spellEnd"/>
      <w:r>
        <w:t xml:space="preserve"> have been reported and recorded in accordance with</w:t>
      </w:r>
      <w:r>
        <w:rPr>
          <w:color w:val="0B0C0C"/>
        </w:rPr>
        <w:t xml:space="preserve"> the published reporting standard for Carbon Reduction Plans and the </w:t>
      </w:r>
      <w:r>
        <w:rPr>
          <w:color w:val="000000"/>
        </w:rPr>
        <w:t>GHG Reporting Protocol corporate standard</w:t>
      </w:r>
      <w:r>
        <w:rPr>
          <w:rStyle w:val="FootnoteReference"/>
          <w:color w:val="000000"/>
        </w:rPr>
        <w:footnoteReference w:id="1"/>
      </w:r>
      <w:r>
        <w:rPr>
          <w:color w:val="000000"/>
        </w:rPr>
        <w:t xml:space="preserve"> </w:t>
      </w:r>
      <w:r>
        <w:rPr>
          <w:color w:val="0B0C0C"/>
        </w:rPr>
        <w:t>and uses the appropri</w:t>
      </w:r>
      <w:r>
        <w:rPr>
          <w:color w:val="000000"/>
        </w:rPr>
        <w:t xml:space="preserve">ate </w:t>
      </w:r>
      <w:hyperlink r:id="rId8" w:history="1">
        <w:r>
          <w:rPr>
            <w:color w:val="000000"/>
          </w:rPr>
          <w:t>Government emission conversion factors for greenhouse gas company reporting</w:t>
        </w:r>
      </w:hyperlink>
      <w:r>
        <w:rPr>
          <w:rStyle w:val="FootnoteReference"/>
          <w:color w:val="000000"/>
        </w:rPr>
        <w:footnoteReference w:id="2"/>
      </w:r>
      <w:r>
        <w:rPr>
          <w:color w:val="000000"/>
        </w:rPr>
        <w:t>.</w:t>
      </w:r>
      <w:r>
        <w:rPr>
          <w:color w:val="0B0C0C"/>
        </w:rPr>
        <w:t xml:space="preserve">Scope 1 and Scope 2 emissions have been reported in accordance with SECR requirements, and the required subset of Scope 3 emissions have been reported in accordance with the published reporting standard for Carbon Reduction Plans and the </w:t>
      </w:r>
      <w:r>
        <w:rPr>
          <w:color w:val="000000"/>
        </w:rPr>
        <w:t>Corporate Value Chain (Scope 3) Standard</w:t>
      </w:r>
      <w:r>
        <w:rPr>
          <w:rStyle w:val="FootnoteReference"/>
          <w:color w:val="000000"/>
        </w:rPr>
        <w:footnoteReference w:id="3"/>
      </w:r>
      <w:r>
        <w:rPr>
          <w:color w:val="000000"/>
        </w:rPr>
        <w:t>.</w:t>
      </w:r>
    </w:p>
    <w:p w14:paraId="539DF338" w14:textId="77777777" w:rsidR="00E621A2" w:rsidRDefault="00000000">
      <w:pPr>
        <w:pStyle w:val="Standard"/>
        <w:spacing w:after="300" w:line="247" w:lineRule="auto"/>
      </w:pPr>
      <w:r>
        <w:rPr>
          <w:color w:val="0B0C0C"/>
        </w:rPr>
        <w:t xml:space="preserve">This Carbon Reduction Plan has </w:t>
      </w:r>
      <w:proofErr w:type="gramStart"/>
      <w:r>
        <w:rPr>
          <w:color w:val="0B0C0C"/>
        </w:rPr>
        <w:t>been reviewed</w:t>
      </w:r>
      <w:proofErr w:type="gramEnd"/>
      <w:r>
        <w:rPr>
          <w:color w:val="0B0C0C"/>
        </w:rPr>
        <w:t xml:space="preserve"> and signed off </w:t>
      </w:r>
      <w:r>
        <w:t>by the board of directors (or equivalent management body).</w:t>
      </w:r>
    </w:p>
    <w:p w14:paraId="2CF964C0" w14:textId="5130CC3B" w:rsidR="00E621A2" w:rsidRDefault="00000000" w:rsidP="002F74BF">
      <w:pPr>
        <w:pStyle w:val="Heading4"/>
        <w:spacing w:after="300" w:line="247" w:lineRule="auto"/>
        <w:rPr>
          <w:color w:val="0B0C0C"/>
        </w:rPr>
      </w:pPr>
      <w:bookmarkStart w:id="6" w:name="_heading=h.2p2csry"/>
      <w:bookmarkEnd w:id="6"/>
      <w:r>
        <w:t>Signed on behalf of the Supplier:</w:t>
      </w:r>
    </w:p>
    <w:p w14:paraId="2572AECE" w14:textId="1CEEAE36" w:rsidR="00E621A2" w:rsidRDefault="002F74BF" w:rsidP="002F74BF">
      <w:pPr>
        <w:pStyle w:val="Standard"/>
        <w:spacing w:after="300" w:line="247" w:lineRule="auto"/>
      </w:pPr>
      <w:r>
        <w:rPr>
          <w:noProof/>
          <w:color w:val="0B0C0C"/>
        </w:rPr>
        <w:drawing>
          <wp:inline distT="0" distB="0" distL="0" distR="0" wp14:anchorId="23D8084F" wp14:editId="2CAFCB9F">
            <wp:extent cx="2247900" cy="1019175"/>
            <wp:effectExtent l="0" t="0" r="0" b="9525"/>
            <wp:docPr id="840065710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65710" name="Picture 1" descr="A signature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5" cy="10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color w:val="0B0C0C"/>
        </w:rPr>
        <w:t xml:space="preserve">Date: </w:t>
      </w:r>
      <w:bookmarkStart w:id="7" w:name="_heading=h.147n2zr"/>
      <w:bookmarkEnd w:id="7"/>
      <w:r>
        <w:rPr>
          <w:color w:val="0B0C0C"/>
        </w:rPr>
        <w:t>19/08/2024</w:t>
      </w:r>
    </w:p>
    <w:sectPr w:rsidR="00E621A2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7C4E" w14:textId="77777777" w:rsidR="00CE6369" w:rsidRDefault="00CE6369">
      <w:r>
        <w:separator/>
      </w:r>
    </w:p>
  </w:endnote>
  <w:endnote w:type="continuationSeparator" w:id="0">
    <w:p w14:paraId="19BDD722" w14:textId="77777777" w:rsidR="00CE6369" w:rsidRDefault="00CE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altName w:val="Cambria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7949" w14:textId="77777777" w:rsidR="00CE6369" w:rsidRDefault="00CE6369">
      <w:r>
        <w:rPr>
          <w:color w:val="000000"/>
        </w:rPr>
        <w:separator/>
      </w:r>
    </w:p>
  </w:footnote>
  <w:footnote w:type="continuationSeparator" w:id="0">
    <w:p w14:paraId="0EFF0855" w14:textId="77777777" w:rsidR="00CE6369" w:rsidRDefault="00CE6369">
      <w:r>
        <w:continuationSeparator/>
      </w:r>
    </w:p>
  </w:footnote>
  <w:footnote w:id="1">
    <w:p w14:paraId="7B54CD75" w14:textId="77777777" w:rsidR="00E621A2" w:rsidRDefault="00000000">
      <w:pPr>
        <w:pStyle w:val="Standard"/>
        <w:spacing w:line="240" w:lineRule="auto"/>
      </w:pPr>
      <w:r>
        <w:rPr>
          <w:rStyle w:val="FootnoteReference"/>
        </w:rPr>
        <w:footnoteRef/>
      </w:r>
      <w:hyperlink r:id="rId1" w:history="1">
        <w:r>
          <w:rPr>
            <w:color w:val="0000FF"/>
            <w:sz w:val="20"/>
            <w:szCs w:val="20"/>
            <w:u w:val="single"/>
          </w:rPr>
          <w:t>https://ghgprotocol.org/corporate-standard</w:t>
        </w:r>
      </w:hyperlink>
    </w:p>
  </w:footnote>
  <w:footnote w:id="2">
    <w:p w14:paraId="7F5AF32B" w14:textId="77777777" w:rsidR="00E621A2" w:rsidRDefault="00000000">
      <w:pPr>
        <w:pStyle w:val="Standard"/>
        <w:spacing w:line="240" w:lineRule="auto"/>
      </w:pPr>
      <w:r>
        <w:rPr>
          <w:rStyle w:val="FootnoteReference"/>
        </w:rPr>
        <w:footnoteRef/>
      </w:r>
      <w:hyperlink r:id="rId2" w:history="1">
        <w:r>
          <w:rPr>
            <w:color w:val="0000FF"/>
            <w:sz w:val="20"/>
            <w:szCs w:val="20"/>
            <w:u w:val="single"/>
          </w:rPr>
          <w:t>https://www.gov.uk/government/collections/government-conversion-factors-for-company-reporting</w:t>
        </w:r>
      </w:hyperlink>
    </w:p>
  </w:footnote>
  <w:footnote w:id="3">
    <w:p w14:paraId="5F2FA797" w14:textId="77777777" w:rsidR="00E621A2" w:rsidRDefault="00000000">
      <w:pPr>
        <w:pStyle w:val="Standard"/>
        <w:spacing w:line="240" w:lineRule="auto"/>
      </w:pPr>
      <w:r>
        <w:rPr>
          <w:rStyle w:val="FootnoteReference"/>
        </w:rPr>
        <w:footnoteRef/>
      </w:r>
      <w:hyperlink r:id="rId3" w:history="1">
        <w:r>
          <w:rPr>
            <w:color w:val="0000FF"/>
            <w:sz w:val="20"/>
            <w:szCs w:val="20"/>
            <w:u w:val="single"/>
          </w:rPr>
          <w:t>https://ghgprotocol.org/standards/scope-3-standard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FED2" w14:textId="0A67B087" w:rsidR="00000000" w:rsidRPr="002F74BF" w:rsidRDefault="002F74BF" w:rsidP="002F74BF">
    <w:pPr>
      <w:pStyle w:val="Title"/>
      <w:spacing w:after="120" w:line="271" w:lineRule="auto"/>
      <w:ind w:left="720"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D4D31" wp14:editId="46EBD860">
          <wp:simplePos x="0" y="0"/>
          <wp:positionH relativeFrom="column">
            <wp:posOffset>5619750</wp:posOffset>
          </wp:positionH>
          <wp:positionV relativeFrom="topMargin">
            <wp:align>bottom</wp:align>
          </wp:positionV>
          <wp:extent cx="835200" cy="774000"/>
          <wp:effectExtent l="0" t="0" r="3175" b="7620"/>
          <wp:wrapNone/>
          <wp:docPr id="2006123081" name="Picture 2" descr="A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123081" name="Picture 2" descr="A white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Carbon Reduction Plan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B61"/>
    <w:multiLevelType w:val="multilevel"/>
    <w:tmpl w:val="E3F0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6392D"/>
    <w:multiLevelType w:val="multilevel"/>
    <w:tmpl w:val="603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5149F"/>
    <w:multiLevelType w:val="multilevel"/>
    <w:tmpl w:val="777896C8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2013370"/>
    <w:multiLevelType w:val="multilevel"/>
    <w:tmpl w:val="2374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36476"/>
    <w:multiLevelType w:val="multilevel"/>
    <w:tmpl w:val="AE86D82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3B3F2712"/>
    <w:multiLevelType w:val="multilevel"/>
    <w:tmpl w:val="379A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847FD"/>
    <w:multiLevelType w:val="multilevel"/>
    <w:tmpl w:val="F1F8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07433"/>
    <w:multiLevelType w:val="multilevel"/>
    <w:tmpl w:val="364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708B9"/>
    <w:multiLevelType w:val="multilevel"/>
    <w:tmpl w:val="936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B5A90"/>
    <w:multiLevelType w:val="multilevel"/>
    <w:tmpl w:val="06B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F0FB8"/>
    <w:multiLevelType w:val="multilevel"/>
    <w:tmpl w:val="943C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782614">
    <w:abstractNumId w:val="4"/>
  </w:num>
  <w:num w:numId="2" w16cid:durableId="21055675">
    <w:abstractNumId w:val="2"/>
  </w:num>
  <w:num w:numId="3" w16cid:durableId="266543934">
    <w:abstractNumId w:val="2"/>
    <w:lvlOverride w:ilvl="0"/>
  </w:num>
  <w:num w:numId="4" w16cid:durableId="1464035618">
    <w:abstractNumId w:val="5"/>
  </w:num>
  <w:num w:numId="5" w16cid:durableId="1425809048">
    <w:abstractNumId w:val="1"/>
  </w:num>
  <w:num w:numId="6" w16cid:durableId="649942811">
    <w:abstractNumId w:val="7"/>
  </w:num>
  <w:num w:numId="7" w16cid:durableId="785151560">
    <w:abstractNumId w:val="9"/>
  </w:num>
  <w:num w:numId="8" w16cid:durableId="742029580">
    <w:abstractNumId w:val="10"/>
  </w:num>
  <w:num w:numId="9" w16cid:durableId="1728993924">
    <w:abstractNumId w:val="0"/>
  </w:num>
  <w:num w:numId="10" w16cid:durableId="317150275">
    <w:abstractNumId w:val="6"/>
  </w:num>
  <w:num w:numId="11" w16cid:durableId="52239185">
    <w:abstractNumId w:val="8"/>
  </w:num>
  <w:num w:numId="12" w16cid:durableId="1912811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21A2"/>
    <w:rsid w:val="002F74BF"/>
    <w:rsid w:val="00531BCF"/>
    <w:rsid w:val="00832E03"/>
    <w:rsid w:val="00880878"/>
    <w:rsid w:val="009125D5"/>
    <w:rsid w:val="00A02C3C"/>
    <w:rsid w:val="00AE15A5"/>
    <w:rsid w:val="00CD603F"/>
    <w:rsid w:val="00CE6369"/>
    <w:rsid w:val="00DE2BCD"/>
    <w:rsid w:val="00E621A2"/>
    <w:rsid w:val="00F53397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2D78F"/>
  <w15:docId w15:val="{9F7E75B7-0976-4D5D-9CCA-EC225105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unhideWhenUsed/>
    <w:qFormat/>
    <w:pPr>
      <w:keepNext/>
      <w:keepLines/>
      <w:spacing w:after="120" w:line="271" w:lineRule="auto"/>
      <w:jc w:val="both"/>
      <w:outlineLvl w:val="3"/>
    </w:pPr>
    <w:rPr>
      <w:b/>
      <w:color w:val="00488C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ramecontents">
    <w:name w:val="Frame contents"/>
    <w:basedOn w:val="Standard"/>
  </w:style>
  <w:style w:type="paragraph" w:styleId="Header">
    <w:name w:val="header"/>
    <w:basedOn w:val="Standard"/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imes New Roman" w:eastAsia="Times New Roman" w:hAnsi="Times New Roman" w:cs="Times New Roman"/>
      <w:sz w:val="18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ListLabel1">
    <w:name w:val="ListLabel 1"/>
    <w:rPr>
      <w:rFonts w:ascii="Arial" w:eastAsia="Noto Sans Symbols" w:hAnsi="Arial" w:cs="Noto Sans Symbols"/>
      <w:b w:val="0"/>
      <w:sz w:val="22"/>
      <w:szCs w:val="20"/>
    </w:rPr>
  </w:style>
  <w:style w:type="character" w:customStyle="1" w:styleId="ListLabel2">
    <w:name w:val="ListLabel 2"/>
    <w:rPr>
      <w:rFonts w:eastAsia="Courier New" w:cs="Courier New"/>
      <w:sz w:val="20"/>
      <w:szCs w:val="20"/>
    </w:rPr>
  </w:style>
  <w:style w:type="character" w:customStyle="1" w:styleId="ListLabel3">
    <w:name w:val="ListLabel 3"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rPr>
      <w:color w:val="00000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F74BF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F74BF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government-conversion-factors-for-company-reportin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hgprotocol.org/standards/scope-3-standard" TargetMode="External"/><Relationship Id="rId2" Type="http://schemas.openxmlformats.org/officeDocument/2006/relationships/hyperlink" Target="https://www.gov.uk/government/collections/government-conversion-factors-for-company-reporting" TargetMode="External"/><Relationship Id="rId1" Type="http://schemas.openxmlformats.org/officeDocument/2006/relationships/hyperlink" Target="https://ghgprotocol.org/corporate-standa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mesyoung\Downloads\SSE-Energy-Solutions-Carbon-Footprint-Calculator_05.04.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Scope Breakdown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D7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7D1D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615-4FE3-9FFA-FAFEB3238C39}"/>
              </c:ext>
            </c:extLst>
          </c:dPt>
          <c:dPt>
            <c:idx val="1"/>
            <c:invertIfNegative val="0"/>
            <c:bubble3D val="0"/>
            <c:spPr>
              <a:solidFill>
                <a:srgbClr val="FAD17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615-4FE3-9FFA-FAFEB3238C39}"/>
              </c:ext>
            </c:extLst>
          </c:dPt>
          <c:dPt>
            <c:idx val="2"/>
            <c:invertIfNegative val="0"/>
            <c:bubble3D val="0"/>
            <c:spPr>
              <a:solidFill>
                <a:srgbClr val="74DFD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615-4FE3-9FFA-FAFEB3238C39}"/>
              </c:ext>
            </c:extLst>
          </c:dPt>
          <c:cat>
            <c:strRef>
              <c:f>'Carbon Footprint '!$E$5:$E$7</c:f>
              <c:strCache>
                <c:ptCount val="3"/>
                <c:pt idx="0">
                  <c:v>Scope 1 </c:v>
                </c:pt>
                <c:pt idx="1">
                  <c:v>Scope 2</c:v>
                </c:pt>
                <c:pt idx="2">
                  <c:v>Scope 3 </c:v>
                </c:pt>
              </c:strCache>
            </c:strRef>
          </c:cat>
          <c:val>
            <c:numRef>
              <c:f>'Carbon Footprint '!$F$5:$F$7</c:f>
              <c:numCache>
                <c:formatCode>0.0</c:formatCode>
                <c:ptCount val="3"/>
                <c:pt idx="0">
                  <c:v>0</c:v>
                </c:pt>
                <c:pt idx="1">
                  <c:v>2.20480498</c:v>
                </c:pt>
                <c:pt idx="2">
                  <c:v>26.143879896545002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15-4FE3-9FFA-FAFEB3238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652927"/>
        <c:axId val="45940975"/>
      </c:barChart>
      <c:catAx>
        <c:axId val="45652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940975"/>
        <c:crosses val="autoZero"/>
        <c:auto val="1"/>
        <c:lblAlgn val="ctr"/>
        <c:lblOffset val="100"/>
        <c:noMultiLvlLbl val="0"/>
      </c:catAx>
      <c:valAx>
        <c:axId val="45940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6529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A43912A022146B4BB23CDC3212DF5" ma:contentTypeVersion="17" ma:contentTypeDescription="Create a new document." ma:contentTypeScope="" ma:versionID="2aff26c4d52e5beac291aa8f35b924fd">
  <xsd:schema xmlns:xsd="http://www.w3.org/2001/XMLSchema" xmlns:xs="http://www.w3.org/2001/XMLSchema" xmlns:p="http://schemas.microsoft.com/office/2006/metadata/properties" xmlns:ns2="cff30ab0-36e0-48cd-8b4d-dd9cd518f56d" xmlns:ns3="18b57384-152d-4cde-816b-efcc873d2297" targetNamespace="http://schemas.microsoft.com/office/2006/metadata/properties" ma:root="true" ma:fieldsID="3cd384a4fd43a83b8c16a2030d8b9762" ns2:_="" ns3:_="">
    <xsd:import namespace="cff30ab0-36e0-48cd-8b4d-dd9cd518f56d"/>
    <xsd:import namespace="18b57384-152d-4cde-816b-efcc873d2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0ab0-36e0-48cd-8b4d-dd9cd518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104adb-fcad-44ba-9684-c9476be95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57384-152d-4cde-816b-efcc873d229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b6e7cc-80f9-4a36-846a-8b8a7ea3feb4}" ma:internalName="TaxCatchAll" ma:showField="CatchAllData" ma:web="18b57384-152d-4cde-816b-efcc873d2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7787F-3714-414C-9596-EF6F116116E0}"/>
</file>

<file path=customXml/itemProps2.xml><?xml version="1.0" encoding="utf-8"?>
<ds:datastoreItem xmlns:ds="http://schemas.openxmlformats.org/officeDocument/2006/customXml" ds:itemID="{E911434F-71D9-4A97-8BC4-4132A78BD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james.young</dc:creator>
  <cp:lastModifiedBy>james.young</cp:lastModifiedBy>
  <cp:revision>3</cp:revision>
  <dcterms:created xsi:type="dcterms:W3CDTF">2024-08-29T15:39:00Z</dcterms:created>
  <dcterms:modified xsi:type="dcterms:W3CDTF">2024-08-29T15:40:00Z</dcterms:modified>
</cp:coreProperties>
</file>